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B4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淮安市水利工程管理实施办法（草案）》征求意见建议汇总表</w:t>
      </w:r>
    </w:p>
    <w:bookmarkEnd w:id="0"/>
    <w:p w14:paraId="66574C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tbl>
      <w:tblPr>
        <w:tblStyle w:val="3"/>
        <w:tblW w:w="14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328"/>
        <w:gridCol w:w="2011"/>
        <w:gridCol w:w="2904"/>
        <w:gridCol w:w="1534"/>
        <w:gridCol w:w="1575"/>
        <w:gridCol w:w="2705"/>
        <w:gridCol w:w="1272"/>
      </w:tblGrid>
      <w:tr w14:paraId="72AB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764967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358" w:type="dxa"/>
            <w:vAlign w:val="center"/>
          </w:tcPr>
          <w:p w14:paraId="6B9EEC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反馈意见单位</w:t>
            </w:r>
          </w:p>
        </w:tc>
        <w:tc>
          <w:tcPr>
            <w:tcW w:w="2042" w:type="dxa"/>
            <w:vAlign w:val="center"/>
          </w:tcPr>
          <w:p w14:paraId="29167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原文内容</w:t>
            </w:r>
          </w:p>
        </w:tc>
        <w:tc>
          <w:tcPr>
            <w:tcW w:w="2973" w:type="dxa"/>
            <w:vAlign w:val="center"/>
          </w:tcPr>
          <w:p w14:paraId="60C0F9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意见建议</w:t>
            </w:r>
          </w:p>
        </w:tc>
        <w:tc>
          <w:tcPr>
            <w:tcW w:w="1571" w:type="dxa"/>
            <w:vAlign w:val="center"/>
          </w:tcPr>
          <w:p w14:paraId="2A62DB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意见采纳情况</w:t>
            </w:r>
          </w:p>
        </w:tc>
        <w:tc>
          <w:tcPr>
            <w:tcW w:w="1600" w:type="dxa"/>
            <w:vAlign w:val="center"/>
          </w:tcPr>
          <w:p w14:paraId="47E33E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采纳调整后内容</w:t>
            </w:r>
          </w:p>
        </w:tc>
        <w:tc>
          <w:tcPr>
            <w:tcW w:w="2471" w:type="dxa"/>
            <w:vAlign w:val="center"/>
          </w:tcPr>
          <w:p w14:paraId="24DF5C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未采纳理由</w:t>
            </w:r>
          </w:p>
          <w:p w14:paraId="65A2AD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（依据）</w:t>
            </w:r>
          </w:p>
        </w:tc>
        <w:tc>
          <w:tcPr>
            <w:tcW w:w="1300" w:type="dxa"/>
            <w:vAlign w:val="center"/>
          </w:tcPr>
          <w:p w14:paraId="1119F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14:paraId="5033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19FEC0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1</w:t>
            </w:r>
          </w:p>
        </w:tc>
        <w:tc>
          <w:tcPr>
            <w:tcW w:w="1358" w:type="dxa"/>
          </w:tcPr>
          <w:p w14:paraId="0A20FC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市生态环境局</w:t>
            </w:r>
          </w:p>
        </w:tc>
        <w:tc>
          <w:tcPr>
            <w:tcW w:w="2042" w:type="dxa"/>
          </w:tcPr>
          <w:p w14:paraId="43B6C4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973" w:type="dxa"/>
          </w:tcPr>
          <w:p w14:paraId="6859FD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建议增加：“新建、改建或扩建水利工程设施或建筑物前，应按程序开展环境影响评价，并获得审批许可后方可实施。"</w:t>
            </w:r>
          </w:p>
        </w:tc>
        <w:tc>
          <w:tcPr>
            <w:tcW w:w="1571" w:type="dxa"/>
          </w:tcPr>
          <w:p w14:paraId="1C264B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0E4633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52FEC9D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《中华人民共和国环境影响评价法》第二十五条对于环评文件未经审批不得开工有明确规定，无需在《办法》中重复规定。</w:t>
            </w:r>
          </w:p>
        </w:tc>
        <w:tc>
          <w:tcPr>
            <w:tcW w:w="1300" w:type="dxa"/>
          </w:tcPr>
          <w:p w14:paraId="577A24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251B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7DD5C9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2</w:t>
            </w:r>
          </w:p>
        </w:tc>
        <w:tc>
          <w:tcPr>
            <w:tcW w:w="1358" w:type="dxa"/>
          </w:tcPr>
          <w:p w14:paraId="318D62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市生态环境局</w:t>
            </w:r>
          </w:p>
        </w:tc>
        <w:tc>
          <w:tcPr>
            <w:tcW w:w="2042" w:type="dxa"/>
          </w:tcPr>
          <w:p w14:paraId="2D2632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973" w:type="dxa"/>
          </w:tcPr>
          <w:p w14:paraId="129F10A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建议增加：“在国、省考断面周边施工前，需提前1个月与市生态环境部门对接并报备施工情况，避免因未报备施工被认定为人为干扰监测事件，影响国省考断面考核数据。”</w:t>
            </w:r>
          </w:p>
        </w:tc>
        <w:tc>
          <w:tcPr>
            <w:tcW w:w="1571" w:type="dxa"/>
          </w:tcPr>
          <w:p w14:paraId="17FF9D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15B26C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0B1E54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此条建议无相关上位法依据。</w:t>
            </w:r>
          </w:p>
        </w:tc>
        <w:tc>
          <w:tcPr>
            <w:tcW w:w="1300" w:type="dxa"/>
          </w:tcPr>
          <w:p w14:paraId="39C1AC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5229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922" w:type="dxa"/>
            <w:vAlign w:val="center"/>
          </w:tcPr>
          <w:p w14:paraId="0A45FD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3</w:t>
            </w:r>
          </w:p>
        </w:tc>
        <w:tc>
          <w:tcPr>
            <w:tcW w:w="1358" w:type="dxa"/>
          </w:tcPr>
          <w:p w14:paraId="20343A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市交通运输局</w:t>
            </w:r>
          </w:p>
        </w:tc>
        <w:tc>
          <w:tcPr>
            <w:tcW w:w="2042" w:type="dxa"/>
          </w:tcPr>
          <w:p w14:paraId="1BCB4D0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第十条“利用堤坝做公路的，路面（含路面两侧各五十厘米的路肩）由交通部门负责管理、维修和养护。涵闸上的公路桥由交通部门负责维修养护，大修由水行政主管部门和交通部门共同负责。”</w:t>
            </w:r>
          </w:p>
        </w:tc>
        <w:tc>
          <w:tcPr>
            <w:tcW w:w="2973" w:type="dxa"/>
          </w:tcPr>
          <w:p w14:paraId="40EB64C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利用堤坝做公路的，应根据公路行政等级，在工程竣工验收时明确后续的管理、维修和养护单位，并由建设单位根据规定向接养单位办理移交手续。涵闸桥一体建设的应在工程竣工验收时明确水利、交通等相关部门后续的工作职责，并由建设单位根据规定向接养单位办理移交手续。</w:t>
            </w:r>
          </w:p>
        </w:tc>
        <w:tc>
          <w:tcPr>
            <w:tcW w:w="1571" w:type="dxa"/>
          </w:tcPr>
          <w:p w14:paraId="61F544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w:t>
            </w:r>
            <w:r>
              <w:rPr>
                <w:rFonts w:hint="default" w:ascii="Times New Roman Regular" w:hAnsi="Times New Roman Regular" w:eastAsia="仿宋_GB2312" w:cs="Times New Roman Regular"/>
                <w:sz w:val="28"/>
                <w:szCs w:val="28"/>
                <w:vertAlign w:val="baseline"/>
                <w:lang w:val="en-US" w:eastAsia="zh-CN"/>
              </w:rPr>
              <w:t>采纳</w:t>
            </w:r>
          </w:p>
        </w:tc>
        <w:tc>
          <w:tcPr>
            <w:tcW w:w="1600" w:type="dxa"/>
          </w:tcPr>
          <w:p w14:paraId="276726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031F4C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本条规定已删除。</w:t>
            </w:r>
          </w:p>
        </w:tc>
        <w:tc>
          <w:tcPr>
            <w:tcW w:w="1300" w:type="dxa"/>
          </w:tcPr>
          <w:p w14:paraId="1B9785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tc>
      </w:tr>
      <w:tr w14:paraId="0D0D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2424EB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highlight w:val="none"/>
                <w:vertAlign w:val="baseline"/>
                <w:lang w:val="en-US" w:eastAsia="zh-CN"/>
              </w:rPr>
              <w:t>4</w:t>
            </w:r>
          </w:p>
        </w:tc>
        <w:tc>
          <w:tcPr>
            <w:tcW w:w="1358" w:type="dxa"/>
          </w:tcPr>
          <w:p w14:paraId="62D949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市自然资源和规划局</w:t>
            </w:r>
          </w:p>
        </w:tc>
        <w:tc>
          <w:tcPr>
            <w:tcW w:w="2042" w:type="dxa"/>
          </w:tcPr>
          <w:p w14:paraId="255928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第六条：“1．京杭大运河：中运河背水坡堤脚外二十米；里运河有堤段背水坡堤脚外三十米至五十米（其中北门桥控制闸至堂子巷控制闸之间段背水坡堤脚外十米），无堤段河口外十米”</w:t>
            </w:r>
          </w:p>
        </w:tc>
        <w:tc>
          <w:tcPr>
            <w:tcW w:w="2973" w:type="dxa"/>
          </w:tcPr>
          <w:p w14:paraId="7AB0FE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大运河、里运河城区段河道管理范围偏宽，建议根据《江苏省水利工程管理条例》，针对城区段和城区外围分别制定具体的规定。建议保证安全的前提下，大运河、里运河城区有堤段的保护范围进行缩减。</w:t>
            </w:r>
          </w:p>
        </w:tc>
        <w:tc>
          <w:tcPr>
            <w:tcW w:w="1571" w:type="dxa"/>
          </w:tcPr>
          <w:p w14:paraId="2F4459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lang w:val="en-US" w:eastAsia="zh-CN"/>
              </w:rPr>
              <w:t>已</w:t>
            </w:r>
            <w:r>
              <w:rPr>
                <w:rFonts w:hint="default" w:ascii="Times New Roman Regular" w:hAnsi="Times New Roman Regular" w:eastAsia="仿宋_GB2312" w:cs="Times New Roman Regular"/>
                <w:sz w:val="28"/>
                <w:szCs w:val="28"/>
              </w:rPr>
              <w:t>采纳</w:t>
            </w:r>
          </w:p>
        </w:tc>
        <w:tc>
          <w:tcPr>
            <w:tcW w:w="1600" w:type="dxa"/>
          </w:tcPr>
          <w:p w14:paraId="51C114B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rPr>
              <w:t>京杭大运河：中运河背水坡堤脚外二十米；里运河有堤段背水坡堤脚外三十米，无堤段河口外十米。</w:t>
            </w:r>
          </w:p>
        </w:tc>
        <w:tc>
          <w:tcPr>
            <w:tcW w:w="2471" w:type="dxa"/>
          </w:tcPr>
          <w:p w14:paraId="11C930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p>
        </w:tc>
        <w:tc>
          <w:tcPr>
            <w:tcW w:w="1300" w:type="dxa"/>
          </w:tcPr>
          <w:p w14:paraId="17607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tc>
      </w:tr>
      <w:tr w14:paraId="1B96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6E7747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highlight w:val="none"/>
                <w:vertAlign w:val="baseline"/>
                <w:lang w:val="en-US" w:eastAsia="zh-CN"/>
              </w:rPr>
              <w:t>5</w:t>
            </w:r>
          </w:p>
        </w:tc>
        <w:tc>
          <w:tcPr>
            <w:tcW w:w="1358" w:type="dxa"/>
          </w:tcPr>
          <w:p w14:paraId="5DB227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市自然资源和规划局</w:t>
            </w:r>
          </w:p>
        </w:tc>
        <w:tc>
          <w:tcPr>
            <w:tcW w:w="2042" w:type="dxa"/>
          </w:tcPr>
          <w:p w14:paraId="36C6C8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以上（二）（三）两项所列河道，在城镇段有堤防的，河道管理范围依据《堤防工程设计规范》及堤防工程级别确定，1级堤防为背水坡堤脚外二十米至三十米，2、3级堤防为背水坡堤脚外十米至二十米，4、5级堤防为背水坡堤脚外五米至十米。采取必要措施、确保防洪安全的前提下，其管理范围可根据具体情况适当调整，但不能小于背水坡堤脚外五米。”</w:t>
            </w:r>
          </w:p>
        </w:tc>
        <w:tc>
          <w:tcPr>
            <w:tcW w:w="2973" w:type="dxa"/>
          </w:tcPr>
          <w:p w14:paraId="250783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以上（二）（三）两项所列河道，在中心城区范围的，管理范围应与国土空间规划相衔接。处于城镇段的堤防，在采取必要的工程措施、确保防洪安全的前提下，背水堤的管理范围，堤脚外不得少于五米。</w:t>
            </w:r>
          </w:p>
          <w:p w14:paraId="70C398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并建议对“堤防、堤脚”作出严谨准确的定义，避免后续文件执行中存在大的争议。</w:t>
            </w:r>
          </w:p>
        </w:tc>
        <w:tc>
          <w:tcPr>
            <w:tcW w:w="1571" w:type="dxa"/>
          </w:tcPr>
          <w:p w14:paraId="19B445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0FC089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无</w:t>
            </w:r>
          </w:p>
        </w:tc>
        <w:tc>
          <w:tcPr>
            <w:tcW w:w="2471" w:type="dxa"/>
          </w:tcPr>
          <w:p w14:paraId="03287A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《江苏省河道管理条例》第十四条中已就相关规划衔接的问题作出规定。</w:t>
            </w:r>
          </w:p>
          <w:p w14:paraId="7F12D99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“堤防、堤脚”定义</w:t>
            </w:r>
            <w:r>
              <w:rPr>
                <w:rFonts w:hint="eastAsia" w:ascii="Times New Roman Regular" w:hAnsi="Times New Roman Regular" w:eastAsia="仿宋_GB2312" w:cs="Times New Roman Regular"/>
                <w:sz w:val="28"/>
                <w:szCs w:val="28"/>
                <w:vertAlign w:val="baseline"/>
                <w:lang w:val="en-US" w:eastAsia="zh-CN"/>
              </w:rPr>
              <w:t>不存在争议</w:t>
            </w:r>
            <w:r>
              <w:rPr>
                <w:rFonts w:hint="default" w:ascii="Times New Roman Regular" w:hAnsi="Times New Roman Regular" w:eastAsia="仿宋_GB2312" w:cs="Times New Roman Regular"/>
                <w:sz w:val="28"/>
                <w:szCs w:val="28"/>
                <w:vertAlign w:val="baseline"/>
                <w:lang w:val="en-US" w:eastAsia="zh-CN"/>
              </w:rPr>
              <w:t>，无需规定。</w:t>
            </w:r>
          </w:p>
        </w:tc>
        <w:tc>
          <w:tcPr>
            <w:tcW w:w="1300" w:type="dxa"/>
          </w:tcPr>
          <w:p w14:paraId="6B9C0E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3954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A19E9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6</w:t>
            </w:r>
          </w:p>
        </w:tc>
        <w:tc>
          <w:tcPr>
            <w:tcW w:w="1358" w:type="dxa"/>
          </w:tcPr>
          <w:p w14:paraId="08A046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市自然资源和规划局</w:t>
            </w:r>
          </w:p>
        </w:tc>
        <w:tc>
          <w:tcPr>
            <w:tcW w:w="2042" w:type="dxa"/>
          </w:tcPr>
          <w:p w14:paraId="09054A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第七条 ：“水利工程管理范围内属于国家所有的土地，由水利工程管理单位进行管理和使用。”</w:t>
            </w:r>
          </w:p>
        </w:tc>
        <w:tc>
          <w:tcPr>
            <w:tcW w:w="2973" w:type="dxa"/>
          </w:tcPr>
          <w:p w14:paraId="2F6E9E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水利工程管理范围内属于国家所有的土地，单位或个人若需使用的，应向自然资源主管部门提出用地申请，自然资源主管部门在办理土地供应手续时，同步征求水行政主管部门意见，水行政主管部门针对用地情形进行充分论证并明确具体实施路径。土地使用权人在土地使用过程中须服从水行政主管部门管理。</w:t>
            </w:r>
          </w:p>
        </w:tc>
        <w:tc>
          <w:tcPr>
            <w:tcW w:w="1571" w:type="dxa"/>
          </w:tcPr>
          <w:p w14:paraId="4F5EA2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w:t>
            </w:r>
            <w:r>
              <w:rPr>
                <w:rFonts w:hint="default" w:ascii="Times New Roman Regular" w:hAnsi="Times New Roman Regular" w:eastAsia="仿宋_GB2312" w:cs="Times New Roman Regular"/>
                <w:sz w:val="28"/>
                <w:szCs w:val="28"/>
                <w:vertAlign w:val="baseline"/>
                <w:lang w:val="en-US" w:eastAsia="zh-CN"/>
              </w:rPr>
              <w:t>采纳</w:t>
            </w:r>
          </w:p>
        </w:tc>
        <w:tc>
          <w:tcPr>
            <w:tcW w:w="1600" w:type="dxa"/>
          </w:tcPr>
          <w:p w14:paraId="3C2A6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6EE7DF7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本条规定已删除。</w:t>
            </w:r>
          </w:p>
        </w:tc>
        <w:tc>
          <w:tcPr>
            <w:tcW w:w="1300" w:type="dxa"/>
          </w:tcPr>
          <w:p w14:paraId="1B3BC6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tc>
      </w:tr>
      <w:tr w14:paraId="051C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AF188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7</w:t>
            </w:r>
          </w:p>
        </w:tc>
        <w:tc>
          <w:tcPr>
            <w:tcW w:w="1358" w:type="dxa"/>
          </w:tcPr>
          <w:p w14:paraId="6D1D84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市自然资源和规划局</w:t>
            </w:r>
          </w:p>
        </w:tc>
        <w:tc>
          <w:tcPr>
            <w:tcW w:w="2042" w:type="dxa"/>
          </w:tcPr>
          <w:p w14:paraId="082210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973" w:type="dxa"/>
          </w:tcPr>
          <w:p w14:paraId="61F2EB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本管理办法中未提及新建水利工程应尽量避免占用耕地和永久基本农田，如确需占用耕地应落实耕地占补平衡，占用永久基本农田需落实永久基本农田补划任务。根据《自然资源部 农业农村部 国家林业和草原局关于严格耕地用途管制有关问题的通知（自然资发(2021) 166号)》，水利设施等重大建设项目选址确实难以避让永久基本农田的，经依法批准，应在落实耕地占补平衡基础上，按照数量不减、质量不降原则，在可以长期稳定利用的耕地上落实永久基本农田补划任务。</w:t>
            </w:r>
          </w:p>
        </w:tc>
        <w:tc>
          <w:tcPr>
            <w:tcW w:w="1571" w:type="dxa"/>
          </w:tcPr>
          <w:p w14:paraId="53DC11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07A532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3CBB5C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《办法》主要规定的是水利工程的管理范围和建成后的管理、保护等工作，侧重管理，而不涉及新建水利工程的相关内容。</w:t>
            </w:r>
          </w:p>
        </w:tc>
        <w:tc>
          <w:tcPr>
            <w:tcW w:w="1300" w:type="dxa"/>
          </w:tcPr>
          <w:p w14:paraId="3F4F76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3183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2F0920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8</w:t>
            </w:r>
          </w:p>
        </w:tc>
        <w:tc>
          <w:tcPr>
            <w:tcW w:w="1358" w:type="dxa"/>
          </w:tcPr>
          <w:p w14:paraId="691B45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市自然资源和规划局</w:t>
            </w:r>
          </w:p>
        </w:tc>
        <w:tc>
          <w:tcPr>
            <w:tcW w:w="2042" w:type="dxa"/>
          </w:tcPr>
          <w:p w14:paraId="25EF9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973" w:type="dxa"/>
          </w:tcPr>
          <w:p w14:paraId="7EE2A0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建议市水利局进一步明确穿越水利工程管理范围用地土地供应的相关路径。</w:t>
            </w:r>
          </w:p>
        </w:tc>
        <w:tc>
          <w:tcPr>
            <w:tcW w:w="1571" w:type="dxa"/>
          </w:tcPr>
          <w:p w14:paraId="2DE9B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28A3B0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3B12DE3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该建议内容非《办法》应当予以规定的内容，涉及用地的应根据《中华人民共和国土地管理法》等相关法律法规规定执行。</w:t>
            </w:r>
          </w:p>
        </w:tc>
        <w:tc>
          <w:tcPr>
            <w:tcW w:w="1300" w:type="dxa"/>
          </w:tcPr>
          <w:p w14:paraId="28D7E9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7465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4D1635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9</w:t>
            </w:r>
          </w:p>
        </w:tc>
        <w:tc>
          <w:tcPr>
            <w:tcW w:w="1358" w:type="dxa"/>
          </w:tcPr>
          <w:p w14:paraId="62BF9D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洪泽区人民政府</w:t>
            </w:r>
          </w:p>
        </w:tc>
        <w:tc>
          <w:tcPr>
            <w:tcW w:w="2042" w:type="dxa"/>
          </w:tcPr>
          <w:p w14:paraId="4D7E99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973" w:type="dxa"/>
          </w:tcPr>
          <w:p w14:paraId="4E2C85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河道的南堤、北堤等统一修改为左堤或右堤</w:t>
            </w:r>
          </w:p>
        </w:tc>
        <w:tc>
          <w:tcPr>
            <w:tcW w:w="1571" w:type="dxa"/>
          </w:tcPr>
          <w:p w14:paraId="6AEA2F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412D66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7CA452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《江苏省水利工程管理条例》中使用的是南堤、北堤，《办法》与上位法保持一致</w:t>
            </w:r>
            <w:r>
              <w:rPr>
                <w:rFonts w:hint="eastAsia" w:ascii="Times New Roman Regular" w:hAnsi="Times New Roman Regular" w:eastAsia="仿宋_GB2312" w:cs="Times New Roman Regular"/>
                <w:sz w:val="28"/>
                <w:szCs w:val="28"/>
                <w:vertAlign w:val="baseline"/>
                <w:lang w:val="en-US" w:eastAsia="zh-CN"/>
              </w:rPr>
              <w:t>。并且左堤、右堤系根据水流流向确认，水流流向较为复杂，无法统一规定为左堤、右堤。</w:t>
            </w:r>
          </w:p>
        </w:tc>
        <w:tc>
          <w:tcPr>
            <w:tcW w:w="1300" w:type="dxa"/>
          </w:tcPr>
          <w:p w14:paraId="672898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5385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5" w:hRule="atLeast"/>
        </w:trPr>
        <w:tc>
          <w:tcPr>
            <w:tcW w:w="922" w:type="dxa"/>
            <w:vAlign w:val="center"/>
          </w:tcPr>
          <w:p w14:paraId="0A123B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highlight w:val="none"/>
                <w:vertAlign w:val="baseline"/>
                <w:lang w:val="en-US" w:eastAsia="zh-CN"/>
              </w:rPr>
              <w:t>10</w:t>
            </w:r>
          </w:p>
        </w:tc>
        <w:tc>
          <w:tcPr>
            <w:tcW w:w="1358" w:type="dxa"/>
          </w:tcPr>
          <w:p w14:paraId="08F76D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金湖县人民政府</w:t>
            </w:r>
          </w:p>
        </w:tc>
        <w:tc>
          <w:tcPr>
            <w:tcW w:w="2042" w:type="dxa"/>
          </w:tcPr>
          <w:p w14:paraId="6E5CAD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第六条：“（二）流域性主要河道、湖泊的管理范围：2.淮河入江水道：原有顺堤河的，以顺堤河为界（含水面）；没有顺堤河的，背水坡堤脚外五十米。”</w:t>
            </w:r>
          </w:p>
        </w:tc>
        <w:tc>
          <w:tcPr>
            <w:tcW w:w="2973" w:type="dxa"/>
          </w:tcPr>
          <w:p w14:paraId="51BBDD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建议修改为：原有顺堤河的，以顺堤河为界（含水面）；没有顺堤河的，背水坡堤脚外五十米，拦河大坝正坝堤脚外一百米，城区段堤脚外五米。</w:t>
            </w:r>
          </w:p>
        </w:tc>
        <w:tc>
          <w:tcPr>
            <w:tcW w:w="1571" w:type="dxa"/>
          </w:tcPr>
          <w:p w14:paraId="1FC74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lang w:val="en-US" w:eastAsia="zh-CN"/>
              </w:rPr>
              <w:t>已</w:t>
            </w:r>
            <w:r>
              <w:rPr>
                <w:rFonts w:hint="default" w:ascii="Times New Roman Regular" w:hAnsi="Times New Roman Regular" w:eastAsia="仿宋_GB2312" w:cs="Times New Roman Regular"/>
                <w:sz w:val="28"/>
                <w:szCs w:val="28"/>
              </w:rPr>
              <w:t>采纳</w:t>
            </w:r>
          </w:p>
        </w:tc>
        <w:tc>
          <w:tcPr>
            <w:tcW w:w="1600" w:type="dxa"/>
          </w:tcPr>
          <w:p w14:paraId="38C679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rPr>
              <w:t>淮河入江水道：有顺堤河的，以顺堤河为界（含水面）；没有顺堤河的，背水坡堤脚外五十米；三河拦河坝正坝堤脚外一百米。</w:t>
            </w:r>
          </w:p>
        </w:tc>
        <w:tc>
          <w:tcPr>
            <w:tcW w:w="2471" w:type="dxa"/>
          </w:tcPr>
          <w:p w14:paraId="299308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tc>
        <w:tc>
          <w:tcPr>
            <w:tcW w:w="1300" w:type="dxa"/>
          </w:tcPr>
          <w:p w14:paraId="4D673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p>
        </w:tc>
      </w:tr>
      <w:tr w14:paraId="0D6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F52F8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highlight w:val="none"/>
                <w:vertAlign w:val="baseline"/>
                <w:lang w:val="en-US" w:eastAsia="zh-CN"/>
              </w:rPr>
              <w:t>11</w:t>
            </w:r>
          </w:p>
        </w:tc>
        <w:tc>
          <w:tcPr>
            <w:tcW w:w="1358" w:type="dxa"/>
          </w:tcPr>
          <w:p w14:paraId="480F45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金湖县人民政府</w:t>
            </w:r>
          </w:p>
        </w:tc>
        <w:tc>
          <w:tcPr>
            <w:tcW w:w="2042" w:type="dxa"/>
          </w:tcPr>
          <w:p w14:paraId="3BCEDC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第六条：“（二）流域性主要河道、湖泊的管理范围：10.金宝航道：背水坡堤脚外十米。”</w:t>
            </w:r>
          </w:p>
        </w:tc>
        <w:tc>
          <w:tcPr>
            <w:tcW w:w="2973" w:type="dxa"/>
          </w:tcPr>
          <w:p w14:paraId="065AE7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建议修改为：背水坡堤脚外十五米。</w:t>
            </w:r>
          </w:p>
        </w:tc>
        <w:tc>
          <w:tcPr>
            <w:tcW w:w="1571" w:type="dxa"/>
          </w:tcPr>
          <w:p w14:paraId="79FC12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7B3F7E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5ED9FD1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经专家论证，本条建议的管理范围过大</w:t>
            </w:r>
          </w:p>
        </w:tc>
        <w:tc>
          <w:tcPr>
            <w:tcW w:w="1300" w:type="dxa"/>
          </w:tcPr>
          <w:p w14:paraId="700AB1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3CA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3C2F4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12</w:t>
            </w:r>
          </w:p>
        </w:tc>
        <w:tc>
          <w:tcPr>
            <w:tcW w:w="1358" w:type="dxa"/>
          </w:tcPr>
          <w:p w14:paraId="68DE4D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金湖县人民政府</w:t>
            </w:r>
          </w:p>
        </w:tc>
        <w:tc>
          <w:tcPr>
            <w:tcW w:w="2042" w:type="dxa"/>
          </w:tcPr>
          <w:p w14:paraId="042A627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第六条：“（二）流城性主要河道、湖泊的管理范围：12.白马湖：白马湖湖堤中心线以外五十米包围的区域。”</w:t>
            </w:r>
          </w:p>
        </w:tc>
        <w:tc>
          <w:tcPr>
            <w:tcW w:w="2973" w:type="dxa"/>
          </w:tcPr>
          <w:p w14:paraId="0CDCF0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建议修改为：沿湖圩堤背水坡堤脚外五十米。</w:t>
            </w:r>
          </w:p>
        </w:tc>
        <w:tc>
          <w:tcPr>
            <w:tcW w:w="1571" w:type="dxa"/>
          </w:tcPr>
          <w:p w14:paraId="39531B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1E6323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503AEB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本条建议的管理范围过大，不符合《堤防工程设计规范》（GB50286—2013）中明确的以堤防等级确定管理范围的原则。</w:t>
            </w:r>
          </w:p>
        </w:tc>
        <w:tc>
          <w:tcPr>
            <w:tcW w:w="1300" w:type="dxa"/>
          </w:tcPr>
          <w:p w14:paraId="476ED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26BE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C0B8A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13</w:t>
            </w:r>
          </w:p>
        </w:tc>
        <w:tc>
          <w:tcPr>
            <w:tcW w:w="1358" w:type="dxa"/>
          </w:tcPr>
          <w:p w14:paraId="4A551F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金湖县人民政府</w:t>
            </w:r>
          </w:p>
        </w:tc>
        <w:tc>
          <w:tcPr>
            <w:tcW w:w="2042" w:type="dxa"/>
          </w:tcPr>
          <w:p w14:paraId="614EB4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第六条：“（二）流域性主要河道、湖泊的管理范围：13.高邮湖：环湖堤防及其护堤地，高邮湖设计洪水位以下的区域。”</w:t>
            </w:r>
          </w:p>
        </w:tc>
        <w:tc>
          <w:tcPr>
            <w:tcW w:w="2973" w:type="dxa"/>
          </w:tcPr>
          <w:p w14:paraId="358F2C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建议修改为：有顺堤河的以顺堤河为界，无顺堤河的，背水坡堤脚向外五十米。</w:t>
            </w:r>
          </w:p>
        </w:tc>
        <w:tc>
          <w:tcPr>
            <w:tcW w:w="1571" w:type="dxa"/>
          </w:tcPr>
          <w:p w14:paraId="251F36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7BEFED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3BD0A97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本条建议的管理范围过大，不符合《堤防工程设计规范》（GB50286—2013）中明确的以堤防等级确定管理范围的原则。</w:t>
            </w:r>
          </w:p>
        </w:tc>
        <w:tc>
          <w:tcPr>
            <w:tcW w:w="1300" w:type="dxa"/>
          </w:tcPr>
          <w:p w14:paraId="3D522D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r w14:paraId="41AD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14A6B2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14</w:t>
            </w:r>
          </w:p>
        </w:tc>
        <w:tc>
          <w:tcPr>
            <w:tcW w:w="1358" w:type="dxa"/>
          </w:tcPr>
          <w:p w14:paraId="39EA6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金湖县人民政府</w:t>
            </w:r>
          </w:p>
        </w:tc>
        <w:tc>
          <w:tcPr>
            <w:tcW w:w="2042" w:type="dxa"/>
          </w:tcPr>
          <w:p w14:paraId="429918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第六条：“（三）区域性骨干河道、跨县重要河道、县域重要河道管理范围：盐河、一帆河、港河、唐响河、甸响河、南六塘河、北六塘河、总六塘河、孙大泓—杰勋河、崔大泓—西张河、废黄河上段、北淮泗河、南淮泗河、张福河、清安河、茭陵一站引河、白马湖下游引河、南渔滨河、南窑头河、花河、草泽河、老三河、汪木排河、仇集大涧、洪金排涝河、洪金干渠、淮涟总干渠、淮涟三干渠、板闸干渠、乌沙干渠等河道，有堤段根据堤防等级划至护堤地，无堤段为河口外五米至十米。其他一般河道管理范围以不小于河口外五米为界。”</w:t>
            </w:r>
          </w:p>
        </w:tc>
        <w:tc>
          <w:tcPr>
            <w:tcW w:w="2973" w:type="dxa"/>
          </w:tcPr>
          <w:p w14:paraId="57E7C0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建议修改为：有堤段根据堤防等级划至护堤地，无堤段为河口外十至十五米。其他一般河道管理范围以不小于河口外五米为界。</w:t>
            </w:r>
          </w:p>
        </w:tc>
        <w:tc>
          <w:tcPr>
            <w:tcW w:w="1571" w:type="dxa"/>
          </w:tcPr>
          <w:p w14:paraId="67914D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未采纳</w:t>
            </w:r>
          </w:p>
        </w:tc>
        <w:tc>
          <w:tcPr>
            <w:tcW w:w="1600" w:type="dxa"/>
          </w:tcPr>
          <w:p w14:paraId="54F258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无</w:t>
            </w:r>
          </w:p>
        </w:tc>
        <w:tc>
          <w:tcPr>
            <w:tcW w:w="2471" w:type="dxa"/>
          </w:tcPr>
          <w:p w14:paraId="36FADD3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仿宋_GB2312" w:cs="Times New Roman Regular"/>
                <w:sz w:val="28"/>
                <w:szCs w:val="28"/>
                <w:vertAlign w:val="baseline"/>
                <w:lang w:val="en-US" w:eastAsia="zh-CN"/>
              </w:rPr>
            </w:pPr>
            <w:r>
              <w:rPr>
                <w:rFonts w:hint="default" w:ascii="Times New Roman Regular" w:hAnsi="Times New Roman Regular" w:eastAsia="仿宋_GB2312" w:cs="Times New Roman Regular"/>
                <w:sz w:val="28"/>
                <w:szCs w:val="28"/>
                <w:vertAlign w:val="baseline"/>
                <w:lang w:val="en-US" w:eastAsia="zh-CN"/>
              </w:rPr>
              <w:t>《江苏省水利工程管理条例》中明确规定，无堤防的河道，其管理范围为水域、沙洲、滩地及河口两侧五至十米，《办法》规定内容与其一致。</w:t>
            </w:r>
          </w:p>
        </w:tc>
        <w:tc>
          <w:tcPr>
            <w:tcW w:w="1300" w:type="dxa"/>
          </w:tcPr>
          <w:p w14:paraId="6BEFFC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Regular" w:hAnsi="Times New Roman Regular" w:eastAsia="仿宋_GB2312" w:cs="Times New Roman Regular"/>
                <w:sz w:val="28"/>
                <w:szCs w:val="28"/>
                <w:vertAlign w:val="baseline"/>
                <w:lang w:val="en-US" w:eastAsia="zh-CN"/>
              </w:rPr>
            </w:pPr>
            <w:r>
              <w:rPr>
                <w:rFonts w:hint="eastAsia" w:ascii="Times New Roman Regular" w:hAnsi="Times New Roman Regular" w:eastAsia="仿宋_GB2312" w:cs="Times New Roman Regular"/>
                <w:sz w:val="28"/>
                <w:szCs w:val="28"/>
                <w:vertAlign w:val="baseline"/>
                <w:lang w:val="en-US" w:eastAsia="zh-CN"/>
              </w:rPr>
              <w:t>已沟通达成一致</w:t>
            </w:r>
          </w:p>
        </w:tc>
      </w:tr>
    </w:tbl>
    <w:p w14:paraId="42AFD7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7230EE71"/>
    <w:sectPr>
      <w:pgSz w:w="16838" w:h="11906" w:orient="landscape"/>
      <w:pgMar w:top="1814"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C4D22"/>
    <w:rsid w:val="3FF423BB"/>
    <w:rsid w:val="44192429"/>
    <w:rsid w:val="46EE5581"/>
    <w:rsid w:val="514E7348"/>
    <w:rsid w:val="5CFC40FC"/>
    <w:rsid w:val="61DA69D6"/>
    <w:rsid w:val="64803865"/>
    <w:rsid w:val="7904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2024-11-28T01:58:46Z</dcterms:created>
  <dc:creator>hasls</dc:creator>
  <cp:lastModifiedBy>Frog</cp:lastModifiedBy>
  <dcterms:modified xsi:type="dcterms:W3CDTF">2024-11-28T02:02:01Z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DE7F1578A147449F8430510A861A015F_12</vt:lpwstr>
  </property>
</Properties>
</file>